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081" w:rsidRPr="00771081" w:rsidRDefault="00771081" w:rsidP="00771081">
      <w:pPr>
        <w:shd w:val="clear" w:color="auto" w:fill="FCFCFC"/>
        <w:spacing w:after="0" w:line="750" w:lineRule="atLeast"/>
        <w:jc w:val="center"/>
        <w:textAlignment w:val="baseline"/>
        <w:outlineLvl w:val="0"/>
        <w:rPr>
          <w:rFonts w:ascii="Arial" w:eastAsia="Times New Roman" w:hAnsi="Arial" w:cs="Arial"/>
          <w:kern w:val="36"/>
          <w:sz w:val="72"/>
          <w:szCs w:val="72"/>
          <w:lang w:eastAsia="es-VE"/>
        </w:rPr>
      </w:pPr>
      <w:r w:rsidRPr="00771081">
        <w:rPr>
          <w:rFonts w:ascii="Times New Roman" w:eastAsia="Times New Roman" w:hAnsi="Times New Roman" w:cs="Times New Roman"/>
          <w:kern w:val="36"/>
          <w:sz w:val="72"/>
          <w:szCs w:val="72"/>
          <w:bdr w:val="none" w:sz="0" w:space="0" w:color="auto" w:frame="1"/>
          <w:lang w:eastAsia="es-VE"/>
        </w:rPr>
        <w:t>Cúrcuma, el mejor alimento hipocrático.</w:t>
      </w:r>
    </w:p>
    <w:p w:rsidR="00771081" w:rsidRPr="00771081" w:rsidRDefault="00771081" w:rsidP="00771081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7710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es-VE"/>
        </w:rPr>
        <w:t xml:space="preserve">Dr. Nabil </w:t>
      </w:r>
      <w:proofErr w:type="spellStart"/>
      <w:r w:rsidRPr="007710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es-VE"/>
        </w:rPr>
        <w:t>Manzour</w:t>
      </w:r>
      <w:proofErr w:type="spellEnd"/>
      <w:r w:rsidRPr="007710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es-VE"/>
        </w:rPr>
        <w:t xml:space="preserve"> M.</w:t>
      </w:r>
    </w:p>
    <w:p w:rsidR="00771081" w:rsidRPr="007D6D38" w:rsidRDefault="00771081" w:rsidP="00771081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es-VE"/>
        </w:rPr>
      </w:pPr>
      <w:r w:rsidRPr="007710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es-VE"/>
        </w:rPr>
        <w:t>Cirujano Ortopedista – Médico Biológico Integracionista</w:t>
      </w:r>
    </w:p>
    <w:p w:rsidR="00771081" w:rsidRPr="007D6D38" w:rsidRDefault="00771081" w:rsidP="00771081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es-VE"/>
        </w:rPr>
      </w:pPr>
    </w:p>
    <w:p w:rsidR="00771081" w:rsidRPr="007D6D38" w:rsidRDefault="00771081" w:rsidP="00771081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es-VE"/>
        </w:rPr>
      </w:pPr>
      <w:r w:rsidRPr="007D6D38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es-VE"/>
        </w:rPr>
        <w:t>Articulo publicado en nuestra página web:</w:t>
      </w:r>
    </w:p>
    <w:p w:rsidR="00771081" w:rsidRPr="00771081" w:rsidRDefault="00771081" w:rsidP="00771081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FCA51A"/>
          <w:sz w:val="21"/>
          <w:szCs w:val="21"/>
          <w:lang w:eastAsia="es-VE"/>
        </w:rPr>
      </w:pPr>
    </w:p>
    <w:p w:rsidR="00771081" w:rsidRDefault="00771081" w:rsidP="00771081">
      <w:pPr>
        <w:shd w:val="clear" w:color="auto" w:fill="FCFCFC"/>
        <w:spacing w:after="225" w:line="240" w:lineRule="auto"/>
        <w:textAlignment w:val="baseline"/>
      </w:pPr>
      <w:r w:rsidRPr="00771081">
        <w:rPr>
          <w:rFonts w:ascii="Arial" w:eastAsia="Times New Roman" w:hAnsi="Arial" w:cs="Arial"/>
          <w:color w:val="FCA51A"/>
          <w:sz w:val="21"/>
          <w:szCs w:val="21"/>
          <w:lang w:eastAsia="es-VE"/>
        </w:rPr>
        <w:t> </w:t>
      </w:r>
      <w:hyperlink r:id="rId5" w:history="1">
        <w:r w:rsidR="00971880" w:rsidRPr="00971880">
          <w:rPr>
            <w:color w:val="0000FF"/>
            <w:u w:val="single"/>
          </w:rPr>
          <w:t>https://oswaldodelcoromoto.wixsite.com/curcuma</w:t>
        </w:r>
      </w:hyperlink>
    </w:p>
    <w:p w:rsidR="00771081" w:rsidRPr="00771081" w:rsidRDefault="00771081" w:rsidP="00771081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FCA51A"/>
          <w:sz w:val="21"/>
          <w:szCs w:val="21"/>
          <w:lang w:eastAsia="es-VE"/>
        </w:rPr>
      </w:pPr>
      <w:bookmarkStart w:id="0" w:name="_GoBack"/>
      <w:bookmarkEnd w:id="0"/>
    </w:p>
    <w:p w:rsidR="00771081" w:rsidRPr="00771081" w:rsidRDefault="00771081" w:rsidP="00771081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La Cúrcuma Longa es una planta herbácea familia del jengibre </w:t>
      </w:r>
      <w:proofErr w:type="gram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( zingiberáceas</w:t>
      </w:r>
      <w:proofErr w:type="gram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>) y es quizá, la especia más utilizada, desde hace muchos años, en la cocina y en la salud.</w:t>
      </w:r>
    </w:p>
    <w:p w:rsidR="00771081" w:rsidRPr="00771081" w:rsidRDefault="00771081" w:rsidP="00771081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Es de origen hindú y se conocen unas 85 especies, utilizadas desde hace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mas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de 4000 años por la medicina ayurvédica. En la actualidad, su principal principio activo, la curcumina es uno de los compuestos más estudiado por la ciencia médica.</w:t>
      </w:r>
    </w:p>
    <w:p w:rsidR="00771081" w:rsidRPr="00771081" w:rsidRDefault="00771081" w:rsidP="00771081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Cabe destacar, que además de la curcumina tan estudiada, este rizoma contiene carburos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terpénicos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(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zingiberenos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) y cetonas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sesquiterpénicas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(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turmeronas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), otras variedades de curcuminas, y decenas de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curcumoides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>, todas en menor o mayor grado, con efecto beneficiosos para la salud.</w:t>
      </w:r>
    </w:p>
    <w:p w:rsidR="00771081" w:rsidRPr="00771081" w:rsidRDefault="00771081" w:rsidP="00771081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Los estudios actuales, en las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mas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prestigiosas revistas internacionales, de todas las especialidades médicas, demuestran que la cúrcuma, tanto sus rizomas frescos o deshidratados, como la curcumina, es una de las más poderosas sustancias naturales en el planeta con acción antiinflamatoria (1), antioxidante(2), anticancerígena(3),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antimutagénica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(4), hipotensora(5), antidiabética(6), antibacteriana(7), antifúngica(8),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antiprotozoaria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(9), antiviral(10),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antifibrótica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(11), antiulcerosa(12) e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hipocolesterolémica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>(13).</w:t>
      </w:r>
    </w:p>
    <w:p w:rsidR="00771081" w:rsidRPr="00771081" w:rsidRDefault="00771081" w:rsidP="00771081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Se utiliza contra el cáncer, problemas cardiovasculares, trastornos biliares, anorexia, tos, diabetes, </w:t>
      </w:r>
      <w:proofErr w:type="gram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artrosis(</w:t>
      </w:r>
      <w:proofErr w:type="gram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>14), trastornos hepáticos, enfermedades oculares(15), reumatismo, sinusitis, piel, problemas pulmonares, problemas gastrointestinales, dolores, heridas, trastornos del sistema inmune, enfermedades del Sistema Nervioso como Alzheimer(16), Parkinson, traumas cerebrales, ECV(17).</w:t>
      </w:r>
    </w:p>
    <w:p w:rsidR="00771081" w:rsidRPr="00771081" w:rsidRDefault="00771081" w:rsidP="00771081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771081">
        <w:rPr>
          <w:rFonts w:ascii="Arial" w:eastAsia="Times New Roman" w:hAnsi="Arial" w:cs="Arial"/>
          <w:sz w:val="21"/>
          <w:szCs w:val="21"/>
          <w:lang w:eastAsia="es-VE"/>
        </w:rPr>
        <w:t>No existe órgano o sistema corporal que no se beneficie con sus propiedades antii</w:t>
      </w:r>
      <w:r w:rsidR="00634BC1">
        <w:rPr>
          <w:rFonts w:ascii="Arial" w:eastAsia="Times New Roman" w:hAnsi="Arial" w:cs="Arial"/>
          <w:sz w:val="21"/>
          <w:szCs w:val="21"/>
          <w:lang w:eastAsia="es-VE"/>
        </w:rPr>
        <w:t>n</w:t>
      </w:r>
      <w:r w:rsidRPr="00771081">
        <w:rPr>
          <w:rFonts w:ascii="Arial" w:eastAsia="Times New Roman" w:hAnsi="Arial" w:cs="Arial"/>
          <w:sz w:val="21"/>
          <w:szCs w:val="21"/>
          <w:lang w:eastAsia="es-VE"/>
        </w:rPr>
        <w:t>flamatorias, antica</w:t>
      </w:r>
      <w:r>
        <w:rPr>
          <w:rFonts w:ascii="Arial" w:eastAsia="Times New Roman" w:hAnsi="Arial" w:cs="Arial"/>
          <w:sz w:val="21"/>
          <w:szCs w:val="21"/>
          <w:lang w:eastAsia="es-VE"/>
        </w:rPr>
        <w:t>nce</w:t>
      </w:r>
      <w:r w:rsidRPr="00771081">
        <w:rPr>
          <w:rFonts w:ascii="Arial" w:eastAsia="Times New Roman" w:hAnsi="Arial" w:cs="Arial"/>
          <w:sz w:val="21"/>
          <w:szCs w:val="21"/>
          <w:lang w:eastAsia="es-VE"/>
        </w:rPr>
        <w:t>rígenas, antioxidantes y regeneradoras. Otra de sus propiedades es que no se le conocen efectos secundarios.</w:t>
      </w:r>
    </w:p>
    <w:p w:rsidR="00771081" w:rsidRPr="00771081" w:rsidRDefault="00771081" w:rsidP="00771081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771081">
        <w:rPr>
          <w:rFonts w:ascii="Arial" w:eastAsia="Times New Roman" w:hAnsi="Arial" w:cs="Arial"/>
          <w:sz w:val="21"/>
          <w:szCs w:val="21"/>
          <w:lang w:eastAsia="es-VE"/>
        </w:rPr>
        <w:t>En mi práctica médica, la cúrcuma ha sido un pilar crucial en la mejora y recuperación de los pacientes, y en mi propia persona, desde hace varios años.</w:t>
      </w:r>
    </w:p>
    <w:p w:rsidR="00771081" w:rsidRPr="00771081" w:rsidRDefault="00771081" w:rsidP="00771081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771081">
        <w:rPr>
          <w:rFonts w:ascii="Arial" w:eastAsia="Times New Roman" w:hAnsi="Arial" w:cs="Arial"/>
          <w:sz w:val="21"/>
          <w:szCs w:val="21"/>
          <w:lang w:eastAsia="es-VE"/>
        </w:rPr>
        <w:t>Recordando la máxima de </w:t>
      </w:r>
      <w:r w:rsidRPr="00771081">
        <w:rPr>
          <w:rFonts w:ascii="inherit" w:eastAsia="Times New Roman" w:hAnsi="inherit" w:cs="Arial"/>
          <w:i/>
          <w:iCs/>
          <w:sz w:val="21"/>
          <w:szCs w:val="21"/>
          <w:bdr w:val="none" w:sz="0" w:space="0" w:color="auto" w:frame="1"/>
          <w:lang w:eastAsia="es-VE"/>
        </w:rPr>
        <w:t>Hipócrates</w:t>
      </w:r>
      <w:r w:rsidRPr="00771081">
        <w:rPr>
          <w:rFonts w:ascii="Arial" w:eastAsia="Times New Roman" w:hAnsi="Arial" w:cs="Arial"/>
          <w:sz w:val="21"/>
          <w:szCs w:val="21"/>
          <w:lang w:eastAsia="es-VE"/>
        </w:rPr>
        <w:t> de Cos (Grecia, siglo V a.C. – Siglo IV a. C.) “Que tu alimento sea tu medicina y que tu medicina sea tu alimento”, puedo llamar a esta planta prodigiosa, el mejor alimento hipocrático.</w:t>
      </w:r>
    </w:p>
    <w:p w:rsidR="00771081" w:rsidRPr="00771081" w:rsidRDefault="00971880" w:rsidP="00771081">
      <w:pPr>
        <w:numPr>
          <w:ilvl w:val="0"/>
          <w:numId w:val="1"/>
        </w:numPr>
        <w:shd w:val="clear" w:color="auto" w:fill="FCFCFC"/>
        <w:spacing w:after="0" w:line="240" w:lineRule="auto"/>
        <w:ind w:left="450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hyperlink r:id="rId6" w:history="1"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 xml:space="preserve">Curcuma longa polyphenols improve insulin-mediated lipid accumulation and attenuate proinflammatory response of 3T3-L1 adipose cells during oxidative stress through </w:t>
        </w:r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lastRenderedPageBreak/>
          <w:t xml:space="preserve">regulation of key adipokines and antioxidant </w:t>
        </w:r>
        <w:proofErr w:type="spellStart"/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enzymes.</w:t>
        </w:r>
      </w:hyperlink>
      <w:r w:rsidR="00771081" w:rsidRPr="00771081">
        <w:rPr>
          <w:rFonts w:ascii="Arial" w:eastAsia="Times New Roman" w:hAnsi="Arial" w:cs="Arial"/>
          <w:sz w:val="21"/>
          <w:szCs w:val="21"/>
          <w:lang w:val="en-US" w:eastAsia="es-VE"/>
        </w:rPr>
        <w:t>Septembre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val="en-US" w:eastAsia="es-VE"/>
        </w:rPr>
        <w:t xml:space="preserve">-Malaterre A, Le Sage F, 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val="en-US" w:eastAsia="es-VE"/>
        </w:rPr>
        <w:t>Hatia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val="en-US" w:eastAsia="es-VE"/>
        </w:rPr>
        <w:t xml:space="preserve"> S, 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val="en-US" w:eastAsia="es-VE"/>
        </w:rPr>
        <w:t>Catan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val="en-US" w:eastAsia="es-VE"/>
        </w:rPr>
        <w:t xml:space="preserve"> A, 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val="en-US" w:eastAsia="es-VE"/>
        </w:rPr>
        <w:t>Janci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val="en-US" w:eastAsia="es-VE"/>
        </w:rPr>
        <w:t xml:space="preserve"> L, 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val="en-US" w:eastAsia="es-VE"/>
        </w:rPr>
        <w:t>Gonthier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val="en-US" w:eastAsia="es-VE"/>
        </w:rPr>
        <w:t xml:space="preserve"> MP. 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val="en-US" w:eastAsia="es-VE"/>
        </w:rPr>
        <w:t>Biofactors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val="en-US" w:eastAsia="es-VE"/>
        </w:rPr>
        <w:t xml:space="preserve">. </w:t>
      </w:r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2016 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Apr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20.</w:t>
      </w:r>
    </w:p>
    <w:p w:rsidR="00771081" w:rsidRPr="00771081" w:rsidRDefault="00771081" w:rsidP="00771081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771081">
        <w:rPr>
          <w:rFonts w:ascii="Arial" w:eastAsia="Times New Roman" w:hAnsi="Arial" w:cs="Arial"/>
          <w:sz w:val="21"/>
          <w:szCs w:val="21"/>
          <w:lang w:eastAsia="es-VE"/>
        </w:rPr>
        <w:t> </w:t>
      </w:r>
    </w:p>
    <w:p w:rsidR="00771081" w:rsidRPr="00771081" w:rsidRDefault="00971880" w:rsidP="00771081">
      <w:pPr>
        <w:numPr>
          <w:ilvl w:val="0"/>
          <w:numId w:val="2"/>
        </w:numPr>
        <w:shd w:val="clear" w:color="auto" w:fill="FCFCFC"/>
        <w:spacing w:after="0" w:line="240" w:lineRule="auto"/>
        <w:ind w:left="450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hyperlink r:id="rId7" w:history="1"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Reversal of Beta-Amyloid-Induced Neurotoxicity in PC12 Cells by </w:t>
        </w:r>
        <w:r w:rsidR="00771081" w:rsidRPr="00771081">
          <w:rPr>
            <w:rFonts w:ascii="inherit" w:eastAsia="Times New Roman" w:hAnsi="inherit" w:cs="Arial"/>
            <w:b/>
            <w:bCs/>
            <w:sz w:val="21"/>
            <w:szCs w:val="21"/>
            <w:u w:val="single"/>
            <w:bdr w:val="none" w:sz="0" w:space="0" w:color="auto" w:frame="1"/>
            <w:lang w:val="en-US" w:eastAsia="es-VE"/>
          </w:rPr>
          <w:t>Curcumin</w:t>
        </w:r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, the Important Role of ROS-Mediated Signaling and ERK Pathway.</w:t>
        </w:r>
      </w:hyperlink>
      <w:r w:rsidR="00771081" w:rsidRPr="00771081">
        <w:rPr>
          <w:rFonts w:ascii="Arial" w:eastAsia="Times New Roman" w:hAnsi="Arial" w:cs="Arial"/>
          <w:sz w:val="21"/>
          <w:szCs w:val="21"/>
          <w:lang w:val="en-US" w:eastAsia="es-VE"/>
        </w:rPr>
        <w:t> </w:t>
      </w:r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Fan CD et al. Cell Mol 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Neurobiol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. 2016 Mar 14</w:t>
      </w:r>
    </w:p>
    <w:p w:rsidR="00771081" w:rsidRPr="00771081" w:rsidRDefault="00771081" w:rsidP="00771081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771081">
        <w:rPr>
          <w:rFonts w:ascii="Arial" w:eastAsia="Times New Roman" w:hAnsi="Arial" w:cs="Arial"/>
          <w:sz w:val="21"/>
          <w:szCs w:val="21"/>
          <w:lang w:eastAsia="es-VE"/>
        </w:rPr>
        <w:t> </w:t>
      </w:r>
    </w:p>
    <w:p w:rsidR="00771081" w:rsidRPr="00771081" w:rsidRDefault="00971880" w:rsidP="00771081">
      <w:pPr>
        <w:numPr>
          <w:ilvl w:val="0"/>
          <w:numId w:val="3"/>
        </w:numPr>
        <w:shd w:val="clear" w:color="auto" w:fill="FCFCFC"/>
        <w:spacing w:after="0" w:line="240" w:lineRule="auto"/>
        <w:ind w:left="450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hyperlink r:id="rId8" w:history="1"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Anti-cancer effects of </w:t>
        </w:r>
        <w:r w:rsidR="00771081" w:rsidRPr="00771081">
          <w:rPr>
            <w:rFonts w:ascii="inherit" w:eastAsia="Times New Roman" w:hAnsi="inherit" w:cs="Arial"/>
            <w:b/>
            <w:bCs/>
            <w:sz w:val="21"/>
            <w:szCs w:val="21"/>
            <w:u w:val="single"/>
            <w:bdr w:val="none" w:sz="0" w:space="0" w:color="auto" w:frame="1"/>
            <w:lang w:val="en-US" w:eastAsia="es-VE"/>
          </w:rPr>
          <w:t>curcumin</w:t>
        </w:r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 on lung cancer through the inhibition of EZH2 and NOTCH1.</w:t>
        </w:r>
      </w:hyperlink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Wu GQ et al. 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Oncotarget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. 2016 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Apr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1</w:t>
      </w:r>
    </w:p>
    <w:p w:rsidR="00771081" w:rsidRPr="00771081" w:rsidRDefault="00971880" w:rsidP="00771081">
      <w:pPr>
        <w:numPr>
          <w:ilvl w:val="0"/>
          <w:numId w:val="3"/>
        </w:numPr>
        <w:shd w:val="clear" w:color="auto" w:fill="FCFCFC"/>
        <w:spacing w:after="0" w:line="240" w:lineRule="auto"/>
        <w:ind w:left="450"/>
        <w:textAlignment w:val="baseline"/>
        <w:rPr>
          <w:rFonts w:ascii="Arial" w:eastAsia="Times New Roman" w:hAnsi="Arial" w:cs="Arial"/>
          <w:sz w:val="21"/>
          <w:szCs w:val="21"/>
          <w:lang w:val="en-US" w:eastAsia="es-VE"/>
        </w:rPr>
      </w:pPr>
      <w:hyperlink r:id="rId9" w:history="1"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A novel curcuminoid exhibits enhanced </w:t>
        </w:r>
        <w:r w:rsidR="00771081" w:rsidRPr="00771081">
          <w:rPr>
            <w:rFonts w:ascii="inherit" w:eastAsia="Times New Roman" w:hAnsi="inherit" w:cs="Arial"/>
            <w:b/>
            <w:bCs/>
            <w:sz w:val="21"/>
            <w:szCs w:val="21"/>
            <w:u w:val="single"/>
            <w:bdr w:val="none" w:sz="0" w:space="0" w:color="auto" w:frame="1"/>
            <w:lang w:val="en-US" w:eastAsia="es-VE"/>
          </w:rPr>
          <w:t>antitumor</w:t>
        </w:r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 activity in nasopharyngeal carcinoma.</w:t>
        </w:r>
      </w:hyperlink>
    </w:p>
    <w:p w:rsidR="00771081" w:rsidRPr="00771081" w:rsidRDefault="00771081" w:rsidP="00771081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971880">
        <w:rPr>
          <w:rFonts w:ascii="Arial" w:eastAsia="Times New Roman" w:hAnsi="Arial" w:cs="Arial"/>
          <w:sz w:val="21"/>
          <w:szCs w:val="21"/>
          <w:lang w:val="en-US" w:eastAsia="es-VE"/>
        </w:rPr>
        <w:t xml:space="preserve">       </w:t>
      </w:r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Pan Y et al.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Int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J Oncol. 2016 May;48(5):2175-83</w:t>
      </w:r>
    </w:p>
    <w:p w:rsidR="00771081" w:rsidRPr="00771081" w:rsidRDefault="00971880" w:rsidP="00771081">
      <w:pPr>
        <w:numPr>
          <w:ilvl w:val="0"/>
          <w:numId w:val="4"/>
        </w:numPr>
        <w:shd w:val="clear" w:color="auto" w:fill="FCFCFC"/>
        <w:spacing w:after="0" w:line="240" w:lineRule="auto"/>
        <w:ind w:left="450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hyperlink r:id="rId10" w:history="1"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Mycophenolate mofetil and </w:t>
        </w:r>
        <w:r w:rsidR="00771081" w:rsidRPr="00771081">
          <w:rPr>
            <w:rFonts w:ascii="inherit" w:eastAsia="Times New Roman" w:hAnsi="inherit" w:cs="Arial"/>
            <w:b/>
            <w:bCs/>
            <w:sz w:val="21"/>
            <w:szCs w:val="21"/>
            <w:u w:val="single"/>
            <w:bdr w:val="none" w:sz="0" w:space="0" w:color="auto" w:frame="1"/>
            <w:lang w:val="en-US" w:eastAsia="es-VE"/>
          </w:rPr>
          <w:t>curcumin</w:t>
        </w:r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 provide comparable therapeutic benefit in experimental chronic kidney disease: role of Nrf2-Keap1 and renal dopamine pathways.</w:t>
        </w:r>
      </w:hyperlink>
      <w:r w:rsidR="00771081" w:rsidRPr="00771081">
        <w:rPr>
          <w:rFonts w:ascii="Arial" w:eastAsia="Times New Roman" w:hAnsi="Arial" w:cs="Arial"/>
          <w:sz w:val="21"/>
          <w:szCs w:val="21"/>
          <w:lang w:val="en-US" w:eastAsia="es-VE"/>
        </w:rPr>
        <w:t> </w:t>
      </w:r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Tapia E et </w:t>
      </w:r>
      <w:proofErr w:type="spellStart"/>
      <w:proofErr w:type="gramStart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al.Free</w:t>
      </w:r>
      <w:proofErr w:type="spellEnd"/>
      <w:proofErr w:type="gramEnd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Radic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Res. 2016 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Apr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6:1-30</w:t>
      </w:r>
    </w:p>
    <w:p w:rsidR="00771081" w:rsidRPr="00771081" w:rsidRDefault="00771081" w:rsidP="00771081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771081">
        <w:rPr>
          <w:rFonts w:ascii="Arial" w:eastAsia="Times New Roman" w:hAnsi="Arial" w:cs="Arial"/>
          <w:sz w:val="21"/>
          <w:szCs w:val="21"/>
          <w:lang w:eastAsia="es-VE"/>
        </w:rPr>
        <w:t> </w:t>
      </w:r>
    </w:p>
    <w:p w:rsidR="00771081" w:rsidRPr="00771081" w:rsidRDefault="00971880" w:rsidP="00771081">
      <w:pPr>
        <w:numPr>
          <w:ilvl w:val="0"/>
          <w:numId w:val="5"/>
        </w:numPr>
        <w:shd w:val="clear" w:color="auto" w:fill="FCFCFC"/>
        <w:spacing w:after="0" w:line="240" w:lineRule="auto"/>
        <w:ind w:left="450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hyperlink r:id="rId11" w:history="1">
        <w:r w:rsidR="00771081" w:rsidRPr="00771081">
          <w:rPr>
            <w:rFonts w:ascii="inherit" w:eastAsia="Times New Roman" w:hAnsi="inherit" w:cs="Arial"/>
            <w:b/>
            <w:bCs/>
            <w:sz w:val="21"/>
            <w:szCs w:val="21"/>
            <w:u w:val="single"/>
            <w:bdr w:val="none" w:sz="0" w:space="0" w:color="auto" w:frame="1"/>
            <w:lang w:val="en-US" w:eastAsia="es-VE"/>
          </w:rPr>
          <w:t>Curcumin</w:t>
        </w:r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 prevents inflammatory response, oxidative stress and insulin resistance in high fructose fed male Wistar rats: Potential role of serine kinases.</w:t>
        </w:r>
      </w:hyperlink>
      <w:r w:rsidR="00771081" w:rsidRPr="00771081">
        <w:rPr>
          <w:rFonts w:ascii="Arial" w:eastAsia="Times New Roman" w:hAnsi="Arial" w:cs="Arial"/>
          <w:sz w:val="21"/>
          <w:szCs w:val="21"/>
          <w:lang w:val="en-US" w:eastAsia="es-VE"/>
        </w:rPr>
        <w:t> 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Maithilikarpagaselvi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N, et al. 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Chem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Biol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Interact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. 2016 Jan </w:t>
      </w:r>
      <w:proofErr w:type="gramStart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25;244:187</w:t>
      </w:r>
      <w:proofErr w:type="gramEnd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-94</w:t>
      </w:r>
    </w:p>
    <w:p w:rsidR="00771081" w:rsidRPr="00771081" w:rsidRDefault="00771081" w:rsidP="00771081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771081">
        <w:rPr>
          <w:rFonts w:ascii="Arial" w:eastAsia="Times New Roman" w:hAnsi="Arial" w:cs="Arial"/>
          <w:sz w:val="21"/>
          <w:szCs w:val="21"/>
          <w:lang w:eastAsia="es-VE"/>
        </w:rPr>
        <w:t> </w:t>
      </w:r>
    </w:p>
    <w:p w:rsidR="00771081" w:rsidRPr="00771081" w:rsidRDefault="00971880" w:rsidP="00771081">
      <w:pPr>
        <w:numPr>
          <w:ilvl w:val="0"/>
          <w:numId w:val="6"/>
        </w:numPr>
        <w:shd w:val="clear" w:color="auto" w:fill="FCFCFC"/>
        <w:spacing w:after="0" w:line="240" w:lineRule="auto"/>
        <w:ind w:left="450"/>
        <w:textAlignment w:val="baseline"/>
        <w:rPr>
          <w:rFonts w:ascii="Arial" w:eastAsia="Times New Roman" w:hAnsi="Arial" w:cs="Arial"/>
          <w:sz w:val="21"/>
          <w:szCs w:val="21"/>
          <w:lang w:val="en-US" w:eastAsia="es-VE"/>
        </w:rPr>
      </w:pPr>
      <w:hyperlink r:id="rId12" w:history="1">
        <w:r w:rsidR="00771081" w:rsidRPr="00771081">
          <w:rPr>
            <w:rFonts w:ascii="inherit" w:eastAsia="Times New Roman" w:hAnsi="inherit" w:cs="Arial"/>
            <w:b/>
            <w:bCs/>
            <w:sz w:val="21"/>
            <w:szCs w:val="21"/>
            <w:u w:val="single"/>
            <w:bdr w:val="none" w:sz="0" w:space="0" w:color="auto" w:frame="1"/>
            <w:lang w:val="en-US" w:eastAsia="es-VE"/>
          </w:rPr>
          <w:t>Curcumin</w:t>
        </w:r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 as a potential therapeutic candidate for Helicobacter pylori associated diseases.</w:t>
        </w:r>
      </w:hyperlink>
    </w:p>
    <w:p w:rsidR="00771081" w:rsidRPr="00771081" w:rsidRDefault="00771081" w:rsidP="00771081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971880">
        <w:rPr>
          <w:rFonts w:ascii="Arial" w:eastAsia="Times New Roman" w:hAnsi="Arial" w:cs="Arial"/>
          <w:sz w:val="21"/>
          <w:szCs w:val="21"/>
          <w:lang w:val="en-US" w:eastAsia="es-VE"/>
        </w:rPr>
        <w:t xml:space="preserve">       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Sarkar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A, De R,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Mukhopadhyay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AK.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World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J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Gastroenterol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>. 2016 Mar 7;22(9):2736-48</w:t>
      </w:r>
    </w:p>
    <w:p w:rsidR="00771081" w:rsidRPr="00771081" w:rsidRDefault="00971880" w:rsidP="00771081">
      <w:pPr>
        <w:numPr>
          <w:ilvl w:val="0"/>
          <w:numId w:val="7"/>
        </w:numPr>
        <w:shd w:val="clear" w:color="auto" w:fill="FCFCFC"/>
        <w:spacing w:after="0" w:line="240" w:lineRule="auto"/>
        <w:ind w:left="450"/>
        <w:textAlignment w:val="baseline"/>
        <w:rPr>
          <w:rFonts w:ascii="Arial" w:eastAsia="Times New Roman" w:hAnsi="Arial" w:cs="Arial"/>
          <w:sz w:val="21"/>
          <w:szCs w:val="21"/>
          <w:lang w:val="en-US" w:eastAsia="es-VE"/>
        </w:rPr>
      </w:pPr>
      <w:hyperlink r:id="rId13" w:history="1">
        <w:r w:rsidR="00771081" w:rsidRPr="00771081">
          <w:rPr>
            <w:rFonts w:ascii="inherit" w:eastAsia="Times New Roman" w:hAnsi="inherit" w:cs="Arial"/>
            <w:b/>
            <w:bCs/>
            <w:sz w:val="21"/>
            <w:szCs w:val="21"/>
            <w:u w:val="single"/>
            <w:bdr w:val="none" w:sz="0" w:space="0" w:color="auto" w:frame="1"/>
            <w:lang w:val="en-US" w:eastAsia="es-VE"/>
          </w:rPr>
          <w:t>Curcumin</w:t>
        </w:r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 and its promise as an anticancer drug: An analysis of its anticancer and antifungal effects in cancer and associated complications from invasive fungal infections.</w:t>
        </w:r>
      </w:hyperlink>
    </w:p>
    <w:p w:rsidR="00771081" w:rsidRPr="00771081" w:rsidRDefault="00771081" w:rsidP="00771081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val="en-US" w:eastAsia="es-VE"/>
        </w:rPr>
      </w:pPr>
      <w:r>
        <w:rPr>
          <w:rFonts w:ascii="Arial" w:eastAsia="Times New Roman" w:hAnsi="Arial" w:cs="Arial"/>
          <w:sz w:val="21"/>
          <w:szCs w:val="21"/>
          <w:lang w:val="en-US" w:eastAsia="es-VE"/>
        </w:rPr>
        <w:t xml:space="preserve">       </w:t>
      </w:r>
      <w:r w:rsidRPr="00771081">
        <w:rPr>
          <w:rFonts w:ascii="Arial" w:eastAsia="Times New Roman" w:hAnsi="Arial" w:cs="Arial"/>
          <w:sz w:val="21"/>
          <w:szCs w:val="21"/>
          <w:lang w:val="en-US" w:eastAsia="es-VE"/>
        </w:rPr>
        <w:t xml:space="preserve">Chen J et al. Eur J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val="en-US" w:eastAsia="es-VE"/>
        </w:rPr>
        <w:t>Pharmacol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val="en-US" w:eastAsia="es-VE"/>
        </w:rPr>
        <w:t xml:space="preserve">. 2016 Feb </w:t>
      </w:r>
      <w:proofErr w:type="gramStart"/>
      <w:r w:rsidRPr="00771081">
        <w:rPr>
          <w:rFonts w:ascii="Arial" w:eastAsia="Times New Roman" w:hAnsi="Arial" w:cs="Arial"/>
          <w:sz w:val="21"/>
          <w:szCs w:val="21"/>
          <w:lang w:val="en-US" w:eastAsia="es-VE"/>
        </w:rPr>
        <w:t>5;772:33</w:t>
      </w:r>
      <w:proofErr w:type="gramEnd"/>
      <w:r w:rsidRPr="00771081">
        <w:rPr>
          <w:rFonts w:ascii="Arial" w:eastAsia="Times New Roman" w:hAnsi="Arial" w:cs="Arial"/>
          <w:sz w:val="21"/>
          <w:szCs w:val="21"/>
          <w:lang w:val="en-US" w:eastAsia="es-VE"/>
        </w:rPr>
        <w:t>-42</w:t>
      </w:r>
    </w:p>
    <w:p w:rsidR="00771081" w:rsidRPr="00771081" w:rsidRDefault="00771081" w:rsidP="00771081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771081">
        <w:rPr>
          <w:rFonts w:ascii="Arial" w:eastAsia="Times New Roman" w:hAnsi="Arial" w:cs="Arial"/>
          <w:sz w:val="21"/>
          <w:szCs w:val="21"/>
          <w:lang w:val="en-US" w:eastAsia="es-VE"/>
        </w:rPr>
        <w:t>9.</w:t>
      </w:r>
      <w:hyperlink r:id="rId14" w:history="1">
        <w:r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 xml:space="preserve">Anti-giardial therapeutic potential of dichloromethane extracts of Zingiber </w:t>
        </w:r>
        <w:proofErr w:type="spellStart"/>
        <w:r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officinale</w:t>
        </w:r>
        <w:proofErr w:type="spellEnd"/>
        <w:r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 xml:space="preserve"> and </w:t>
        </w:r>
        <w:r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 xml:space="preserve">    </w:t>
        </w:r>
        <w:r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Curcuma longa in vitro and in vivo.</w:t>
        </w:r>
      </w:hyperlink>
      <w:r w:rsidRPr="00771081">
        <w:rPr>
          <w:rFonts w:ascii="Arial" w:eastAsia="Times New Roman" w:hAnsi="Arial" w:cs="Arial"/>
          <w:sz w:val="21"/>
          <w:szCs w:val="21"/>
          <w:lang w:val="en-US" w:eastAsia="es-VE"/>
        </w:rPr>
        <w:t> 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Dyab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AK,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Yones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DA,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Ibraheim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ZZ, Hassan TM.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Parasitol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es-VE"/>
        </w:rPr>
        <w:t xml:space="preserve">  </w:t>
      </w:r>
      <w:r w:rsidRPr="00771081">
        <w:rPr>
          <w:rFonts w:ascii="Arial" w:eastAsia="Times New Roman" w:hAnsi="Arial" w:cs="Arial"/>
          <w:sz w:val="21"/>
          <w:szCs w:val="21"/>
          <w:lang w:eastAsia="es-VE"/>
        </w:rPr>
        <w:t>Res. 2016 Mar 16</w:t>
      </w:r>
    </w:p>
    <w:p w:rsidR="00771081" w:rsidRPr="00771081" w:rsidRDefault="00771081" w:rsidP="00771081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771081">
        <w:rPr>
          <w:rFonts w:ascii="Arial" w:eastAsia="Times New Roman" w:hAnsi="Arial" w:cs="Arial"/>
          <w:sz w:val="21"/>
          <w:szCs w:val="21"/>
          <w:lang w:eastAsia="es-VE"/>
        </w:rPr>
        <w:t> </w:t>
      </w:r>
    </w:p>
    <w:p w:rsidR="00771081" w:rsidRPr="00771081" w:rsidRDefault="00971880" w:rsidP="00771081">
      <w:pPr>
        <w:numPr>
          <w:ilvl w:val="0"/>
          <w:numId w:val="8"/>
        </w:numPr>
        <w:shd w:val="clear" w:color="auto" w:fill="FCFCFC"/>
        <w:spacing w:after="0" w:line="240" w:lineRule="auto"/>
        <w:ind w:left="450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hyperlink r:id="rId15" w:history="1">
        <w:r w:rsidR="00771081" w:rsidRPr="00771081">
          <w:rPr>
            <w:rFonts w:ascii="inherit" w:eastAsia="Times New Roman" w:hAnsi="inherit" w:cs="Arial"/>
            <w:b/>
            <w:bCs/>
            <w:sz w:val="21"/>
            <w:szCs w:val="21"/>
            <w:u w:val="single"/>
            <w:bdr w:val="none" w:sz="0" w:space="0" w:color="auto" w:frame="1"/>
            <w:lang w:val="en-US" w:eastAsia="es-VE"/>
          </w:rPr>
          <w:t>Curcumin</w:t>
        </w:r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 modified silver nanoparticles for highly efficient inhibition of respiratory syncytial virus </w:t>
        </w:r>
        <w:r w:rsidR="00771081" w:rsidRPr="00771081">
          <w:rPr>
            <w:rFonts w:ascii="inherit" w:eastAsia="Times New Roman" w:hAnsi="inherit" w:cs="Arial"/>
            <w:b/>
            <w:bCs/>
            <w:sz w:val="21"/>
            <w:szCs w:val="21"/>
            <w:u w:val="single"/>
            <w:bdr w:val="none" w:sz="0" w:space="0" w:color="auto" w:frame="1"/>
            <w:lang w:val="en-US" w:eastAsia="es-VE"/>
          </w:rPr>
          <w:t>infection</w:t>
        </w:r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.</w:t>
        </w:r>
      </w:hyperlink>
      <w:r w:rsidR="00771081" w:rsidRPr="00771081">
        <w:rPr>
          <w:rFonts w:ascii="Arial" w:eastAsia="Times New Roman" w:hAnsi="Arial" w:cs="Arial"/>
          <w:sz w:val="21"/>
          <w:szCs w:val="21"/>
          <w:lang w:val="en-US" w:eastAsia="es-VE"/>
        </w:rPr>
        <w:t> </w:t>
      </w:r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Yang XX, Li CM, Huang CZ. 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Nanoscale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. 2016 Jan 28;8(5):3040-8</w:t>
      </w:r>
    </w:p>
    <w:p w:rsidR="00771081" w:rsidRPr="00771081" w:rsidRDefault="00771081" w:rsidP="00771081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771081">
        <w:rPr>
          <w:rFonts w:ascii="Arial" w:eastAsia="Times New Roman" w:hAnsi="Arial" w:cs="Arial"/>
          <w:sz w:val="21"/>
          <w:szCs w:val="21"/>
          <w:lang w:eastAsia="es-VE"/>
        </w:rPr>
        <w:t> </w:t>
      </w:r>
    </w:p>
    <w:p w:rsidR="00771081" w:rsidRPr="00771081" w:rsidRDefault="00971880" w:rsidP="00771081">
      <w:pPr>
        <w:numPr>
          <w:ilvl w:val="0"/>
          <w:numId w:val="9"/>
        </w:numPr>
        <w:shd w:val="clear" w:color="auto" w:fill="FCFCFC"/>
        <w:spacing w:after="0" w:line="240" w:lineRule="auto"/>
        <w:ind w:left="450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hyperlink r:id="rId16" w:history="1">
        <w:r w:rsidR="00771081" w:rsidRPr="00771081">
          <w:rPr>
            <w:rFonts w:ascii="inherit" w:eastAsia="Times New Roman" w:hAnsi="inherit" w:cs="Arial"/>
            <w:b/>
            <w:bCs/>
            <w:sz w:val="21"/>
            <w:szCs w:val="21"/>
            <w:u w:val="single"/>
            <w:bdr w:val="none" w:sz="0" w:space="0" w:color="auto" w:frame="1"/>
            <w:lang w:val="en-US" w:eastAsia="es-VE"/>
          </w:rPr>
          <w:t>Curcumin</w:t>
        </w:r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 protects against myocardial infarction-induced cardiac </w:t>
        </w:r>
        <w:r w:rsidR="00771081" w:rsidRPr="00771081">
          <w:rPr>
            <w:rFonts w:ascii="inherit" w:eastAsia="Times New Roman" w:hAnsi="inherit" w:cs="Arial"/>
            <w:b/>
            <w:bCs/>
            <w:sz w:val="21"/>
            <w:szCs w:val="21"/>
            <w:u w:val="single"/>
            <w:bdr w:val="none" w:sz="0" w:space="0" w:color="auto" w:frame="1"/>
            <w:lang w:val="en-US" w:eastAsia="es-VE"/>
          </w:rPr>
          <w:t>fibrosis</w:t>
        </w:r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 via SIRT1 activation in vivo and in vitro.</w:t>
        </w:r>
      </w:hyperlink>
      <w:r w:rsidR="00771081" w:rsidRPr="00771081">
        <w:rPr>
          <w:rFonts w:ascii="Arial" w:eastAsia="Times New Roman" w:hAnsi="Arial" w:cs="Arial"/>
          <w:sz w:val="21"/>
          <w:szCs w:val="21"/>
          <w:lang w:val="en-US" w:eastAsia="es-VE"/>
        </w:rPr>
        <w:t> </w:t>
      </w:r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Xiao J et al. 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Drug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Des 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Devel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Ther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. 2016 Mar </w:t>
      </w:r>
      <w:proofErr w:type="gramStart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29;10:1267</w:t>
      </w:r>
      <w:proofErr w:type="gramEnd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-77</w:t>
      </w:r>
    </w:p>
    <w:p w:rsidR="00771081" w:rsidRPr="00771081" w:rsidRDefault="00771081" w:rsidP="00771081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771081">
        <w:rPr>
          <w:rFonts w:ascii="Arial" w:eastAsia="Times New Roman" w:hAnsi="Arial" w:cs="Arial"/>
          <w:sz w:val="21"/>
          <w:szCs w:val="21"/>
          <w:lang w:eastAsia="es-VE"/>
        </w:rPr>
        <w:t> </w:t>
      </w:r>
    </w:p>
    <w:p w:rsidR="00771081" w:rsidRPr="00771081" w:rsidRDefault="00771081" w:rsidP="00771081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val="en-US" w:eastAsia="es-VE"/>
        </w:rPr>
      </w:pPr>
      <w:r>
        <w:rPr>
          <w:rFonts w:ascii="Arial" w:eastAsia="Times New Roman" w:hAnsi="Arial" w:cs="Arial"/>
          <w:sz w:val="21"/>
          <w:szCs w:val="21"/>
          <w:lang w:val="en-US" w:eastAsia="es-VE"/>
        </w:rPr>
        <w:t xml:space="preserve"> </w:t>
      </w:r>
      <w:r w:rsidRPr="00771081">
        <w:rPr>
          <w:rFonts w:ascii="Arial" w:eastAsia="Times New Roman" w:hAnsi="Arial" w:cs="Arial"/>
          <w:sz w:val="21"/>
          <w:szCs w:val="21"/>
          <w:lang w:val="en-US" w:eastAsia="es-VE"/>
        </w:rPr>
        <w:t>12.</w:t>
      </w:r>
      <w:hyperlink r:id="rId17" w:history="1">
        <w:r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Enhanced mucosal healing with </w:t>
        </w:r>
        <w:r w:rsidRPr="00771081">
          <w:rPr>
            <w:rFonts w:ascii="inherit" w:eastAsia="Times New Roman" w:hAnsi="inherit" w:cs="Arial"/>
            <w:b/>
            <w:bCs/>
            <w:sz w:val="21"/>
            <w:szCs w:val="21"/>
            <w:u w:val="single"/>
            <w:bdr w:val="none" w:sz="0" w:space="0" w:color="auto" w:frame="1"/>
            <w:lang w:val="en-US" w:eastAsia="es-VE"/>
          </w:rPr>
          <w:t>curcumin</w:t>
        </w:r>
        <w:r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 in animal oral </w:t>
        </w:r>
        <w:r w:rsidRPr="00771081">
          <w:rPr>
            <w:rFonts w:ascii="inherit" w:eastAsia="Times New Roman" w:hAnsi="inherit" w:cs="Arial"/>
            <w:b/>
            <w:bCs/>
            <w:sz w:val="21"/>
            <w:szCs w:val="21"/>
            <w:u w:val="single"/>
            <w:bdr w:val="none" w:sz="0" w:space="0" w:color="auto" w:frame="1"/>
            <w:lang w:val="en-US" w:eastAsia="es-VE"/>
          </w:rPr>
          <w:t>ulcer</w:t>
        </w:r>
        <w:r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 model.</w:t>
        </w:r>
      </w:hyperlink>
      <w:r w:rsidRPr="00771081">
        <w:rPr>
          <w:rFonts w:ascii="Arial" w:eastAsia="Times New Roman" w:hAnsi="Arial" w:cs="Arial"/>
          <w:sz w:val="21"/>
          <w:szCs w:val="21"/>
          <w:lang w:val="en-US" w:eastAsia="es-VE"/>
        </w:rPr>
        <w:t xml:space="preserve"> Lim YS, Kwon SK, </w:t>
      </w:r>
      <w:r>
        <w:rPr>
          <w:rFonts w:ascii="Arial" w:eastAsia="Times New Roman" w:hAnsi="Arial" w:cs="Arial"/>
          <w:sz w:val="21"/>
          <w:szCs w:val="21"/>
          <w:lang w:val="en-US" w:eastAsia="es-VE"/>
        </w:rPr>
        <w:t xml:space="preserve">              </w:t>
      </w:r>
      <w:r w:rsidRPr="00771081">
        <w:rPr>
          <w:rFonts w:ascii="Arial" w:eastAsia="Times New Roman" w:hAnsi="Arial" w:cs="Arial"/>
          <w:sz w:val="21"/>
          <w:szCs w:val="21"/>
          <w:lang w:val="en-US" w:eastAsia="es-VE"/>
        </w:rPr>
        <w:t>Park JH, Cho CG, Park SW, Kim WK. Laryngoscope. 2016 Feb;126(2</w:t>
      </w:r>
    </w:p>
    <w:p w:rsidR="00771081" w:rsidRPr="00771081" w:rsidRDefault="00771081" w:rsidP="00771081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val="en-US" w:eastAsia="es-VE"/>
        </w:rPr>
      </w:pPr>
      <w:r w:rsidRPr="00771081">
        <w:rPr>
          <w:rFonts w:ascii="Arial" w:eastAsia="Times New Roman" w:hAnsi="Arial" w:cs="Arial"/>
          <w:sz w:val="21"/>
          <w:szCs w:val="21"/>
          <w:lang w:val="en-US" w:eastAsia="es-VE"/>
        </w:rPr>
        <w:t> </w:t>
      </w:r>
    </w:p>
    <w:p w:rsidR="00771081" w:rsidRPr="00771081" w:rsidRDefault="00971880" w:rsidP="00771081">
      <w:pPr>
        <w:numPr>
          <w:ilvl w:val="0"/>
          <w:numId w:val="10"/>
        </w:numPr>
        <w:shd w:val="clear" w:color="auto" w:fill="FCFCFC"/>
        <w:spacing w:after="0" w:line="240" w:lineRule="auto"/>
        <w:ind w:left="450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hyperlink r:id="rId18" w:history="1">
        <w:r w:rsidR="00771081" w:rsidRPr="00771081">
          <w:rPr>
            <w:rFonts w:ascii="inherit" w:eastAsia="Times New Roman" w:hAnsi="inherit" w:cs="Arial"/>
            <w:b/>
            <w:bCs/>
            <w:sz w:val="21"/>
            <w:szCs w:val="21"/>
            <w:u w:val="single"/>
            <w:bdr w:val="none" w:sz="0" w:space="0" w:color="auto" w:frame="1"/>
            <w:lang w:val="en-US" w:eastAsia="es-VE"/>
          </w:rPr>
          <w:t>Curcumin</w:t>
        </w:r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 attenuates adhesion molecules and matrix metalloproteinase expression in hypercholesterolemic rabbits.</w:t>
        </w:r>
      </w:hyperlink>
      <w:r w:rsidR="00771081" w:rsidRPr="00771081">
        <w:rPr>
          <w:rFonts w:ascii="Arial" w:eastAsia="Times New Roman" w:hAnsi="Arial" w:cs="Arial"/>
          <w:sz w:val="21"/>
          <w:szCs w:val="21"/>
          <w:lang w:val="en-US" w:eastAsia="es-VE"/>
        </w:rPr>
        <w:t> 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Um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MY et al. 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Nutr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Res. 2014 Oct;34(10):886-93</w:t>
      </w:r>
    </w:p>
    <w:p w:rsidR="00771081" w:rsidRPr="00771081" w:rsidRDefault="00771081" w:rsidP="00771081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771081">
        <w:rPr>
          <w:rFonts w:ascii="Arial" w:eastAsia="Times New Roman" w:hAnsi="Arial" w:cs="Arial"/>
          <w:sz w:val="21"/>
          <w:szCs w:val="21"/>
          <w:lang w:eastAsia="es-VE"/>
        </w:rPr>
        <w:t> </w:t>
      </w:r>
    </w:p>
    <w:p w:rsidR="00771081" w:rsidRPr="00771081" w:rsidRDefault="00771081" w:rsidP="00771081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771081">
        <w:rPr>
          <w:rFonts w:ascii="Arial" w:eastAsia="Times New Roman" w:hAnsi="Arial" w:cs="Arial"/>
          <w:sz w:val="21"/>
          <w:szCs w:val="21"/>
          <w:lang w:val="en-US" w:eastAsia="es-VE"/>
        </w:rPr>
        <w:lastRenderedPageBreak/>
        <w:t>14.</w:t>
      </w:r>
      <w:hyperlink r:id="rId19" w:history="1">
        <w:r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Metabolomic Elucidation of the Effects of </w:t>
        </w:r>
        <w:r w:rsidRPr="00771081">
          <w:rPr>
            <w:rFonts w:ascii="inherit" w:eastAsia="Times New Roman" w:hAnsi="inherit" w:cs="Arial"/>
            <w:b/>
            <w:bCs/>
            <w:sz w:val="21"/>
            <w:szCs w:val="21"/>
            <w:u w:val="single"/>
            <w:bdr w:val="none" w:sz="0" w:space="0" w:color="auto" w:frame="1"/>
            <w:lang w:val="en-US" w:eastAsia="es-VE"/>
          </w:rPr>
          <w:t>Curcumin</w:t>
        </w:r>
        <w:r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 xml:space="preserve"> on Fibroblast-Like </w:t>
        </w:r>
        <w:proofErr w:type="spellStart"/>
        <w:r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Synoviocytes</w:t>
        </w:r>
        <w:proofErr w:type="spellEnd"/>
        <w:r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 xml:space="preserve"> in Rheumatoid </w:t>
        </w:r>
        <w:r w:rsidRPr="00771081">
          <w:rPr>
            <w:rFonts w:ascii="inherit" w:eastAsia="Times New Roman" w:hAnsi="inherit" w:cs="Arial"/>
            <w:b/>
            <w:bCs/>
            <w:sz w:val="21"/>
            <w:szCs w:val="21"/>
            <w:u w:val="single"/>
            <w:bdr w:val="none" w:sz="0" w:space="0" w:color="auto" w:frame="1"/>
            <w:lang w:val="en-US" w:eastAsia="es-VE"/>
          </w:rPr>
          <w:t>Arthritis</w:t>
        </w:r>
        <w:r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.</w:t>
        </w:r>
      </w:hyperlink>
      <w:r w:rsidRPr="00771081">
        <w:rPr>
          <w:rFonts w:ascii="Arial" w:eastAsia="Times New Roman" w:hAnsi="Arial" w:cs="Arial"/>
          <w:sz w:val="21"/>
          <w:szCs w:val="21"/>
          <w:lang w:val="en-US" w:eastAsia="es-VE"/>
        </w:rPr>
        <w:t> 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Ahn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JK et al.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PLoS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One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. 2015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Dec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30;10(12)</w:t>
      </w:r>
    </w:p>
    <w:p w:rsidR="00771081" w:rsidRPr="00771081" w:rsidRDefault="00771081" w:rsidP="00771081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771081">
        <w:rPr>
          <w:rFonts w:ascii="Arial" w:eastAsia="Times New Roman" w:hAnsi="Arial" w:cs="Arial"/>
          <w:sz w:val="21"/>
          <w:szCs w:val="21"/>
          <w:lang w:eastAsia="es-VE"/>
        </w:rPr>
        <w:t> </w:t>
      </w:r>
    </w:p>
    <w:p w:rsidR="00771081" w:rsidRPr="00771081" w:rsidRDefault="00971880" w:rsidP="00771081">
      <w:pPr>
        <w:numPr>
          <w:ilvl w:val="0"/>
          <w:numId w:val="11"/>
        </w:numPr>
        <w:shd w:val="clear" w:color="auto" w:fill="FCFCFC"/>
        <w:spacing w:after="0" w:line="240" w:lineRule="auto"/>
        <w:ind w:left="450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hyperlink r:id="rId20" w:history="1"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Effect of </w:t>
        </w:r>
        <w:r w:rsidR="00771081" w:rsidRPr="00771081">
          <w:rPr>
            <w:rFonts w:ascii="inherit" w:eastAsia="Times New Roman" w:hAnsi="inherit" w:cs="Arial"/>
            <w:b/>
            <w:bCs/>
            <w:sz w:val="21"/>
            <w:szCs w:val="21"/>
            <w:u w:val="single"/>
            <w:bdr w:val="none" w:sz="0" w:space="0" w:color="auto" w:frame="1"/>
            <w:lang w:val="en-US" w:eastAsia="es-VE"/>
          </w:rPr>
          <w:t>curcumin</w:t>
        </w:r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 on aging retinal pigment epithelial cells.</w:t>
        </w:r>
      </w:hyperlink>
      <w:r w:rsidR="00771081" w:rsidRPr="00771081">
        <w:rPr>
          <w:rFonts w:ascii="Arial" w:eastAsia="Times New Roman" w:hAnsi="Arial" w:cs="Arial"/>
          <w:sz w:val="21"/>
          <w:szCs w:val="21"/>
          <w:lang w:val="en-US" w:eastAsia="es-VE"/>
        </w:rPr>
        <w:t> </w:t>
      </w:r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Zhu W et al. 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Drug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Des 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Devel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Ther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. 2015 </w:t>
      </w:r>
      <w:proofErr w:type="spellStart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Sep</w:t>
      </w:r>
      <w:proofErr w:type="spellEnd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</w:t>
      </w:r>
      <w:proofErr w:type="gramStart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25;9:5337</w:t>
      </w:r>
      <w:proofErr w:type="gramEnd"/>
      <w:r w:rsidR="00771081" w:rsidRPr="00771081">
        <w:rPr>
          <w:rFonts w:ascii="Arial" w:eastAsia="Times New Roman" w:hAnsi="Arial" w:cs="Arial"/>
          <w:sz w:val="21"/>
          <w:szCs w:val="21"/>
          <w:lang w:eastAsia="es-VE"/>
        </w:rPr>
        <w:t>-44</w:t>
      </w:r>
    </w:p>
    <w:p w:rsidR="00771081" w:rsidRPr="00771081" w:rsidRDefault="00771081" w:rsidP="00771081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771081">
        <w:rPr>
          <w:rFonts w:ascii="Arial" w:eastAsia="Times New Roman" w:hAnsi="Arial" w:cs="Arial"/>
          <w:sz w:val="21"/>
          <w:szCs w:val="21"/>
          <w:lang w:eastAsia="es-VE"/>
        </w:rPr>
        <w:t> </w:t>
      </w:r>
    </w:p>
    <w:p w:rsidR="00771081" w:rsidRPr="00771081" w:rsidRDefault="00971880" w:rsidP="00771081">
      <w:pPr>
        <w:numPr>
          <w:ilvl w:val="0"/>
          <w:numId w:val="12"/>
        </w:numPr>
        <w:shd w:val="clear" w:color="auto" w:fill="FCFCFC"/>
        <w:spacing w:after="0" w:line="240" w:lineRule="auto"/>
        <w:ind w:left="450"/>
        <w:textAlignment w:val="baseline"/>
        <w:rPr>
          <w:rFonts w:ascii="Arial" w:eastAsia="Times New Roman" w:hAnsi="Arial" w:cs="Arial"/>
          <w:sz w:val="21"/>
          <w:szCs w:val="21"/>
          <w:lang w:val="en-US" w:eastAsia="es-VE"/>
        </w:rPr>
      </w:pPr>
      <w:hyperlink r:id="rId21" w:history="1"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Antioxidative and Neuroprotective Effects of </w:t>
        </w:r>
        <w:r w:rsidR="00771081" w:rsidRPr="00771081">
          <w:rPr>
            <w:rFonts w:ascii="inherit" w:eastAsia="Times New Roman" w:hAnsi="inherit" w:cs="Arial"/>
            <w:b/>
            <w:bCs/>
            <w:sz w:val="21"/>
            <w:szCs w:val="21"/>
            <w:u w:val="single"/>
            <w:bdr w:val="none" w:sz="0" w:space="0" w:color="auto" w:frame="1"/>
            <w:lang w:val="en-US" w:eastAsia="es-VE"/>
          </w:rPr>
          <w:t>Curcumin</w:t>
        </w:r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 in an </w:t>
        </w:r>
        <w:r w:rsidR="00771081" w:rsidRPr="00771081">
          <w:rPr>
            <w:rFonts w:ascii="inherit" w:eastAsia="Times New Roman" w:hAnsi="inherit" w:cs="Arial"/>
            <w:b/>
            <w:bCs/>
            <w:sz w:val="21"/>
            <w:szCs w:val="21"/>
            <w:u w:val="single"/>
            <w:bdr w:val="none" w:sz="0" w:space="0" w:color="auto" w:frame="1"/>
            <w:lang w:val="en-US" w:eastAsia="es-VE"/>
          </w:rPr>
          <w:t>Alzheimer’s Disease</w:t>
        </w:r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 Rat Model Co-Treated with Intracerebroventricular Streptozotocin and Subcutaneous D-Galactose.</w:t>
        </w:r>
      </w:hyperlink>
    </w:p>
    <w:p w:rsidR="00771081" w:rsidRPr="00771081" w:rsidRDefault="00771081" w:rsidP="00771081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971880">
        <w:rPr>
          <w:rFonts w:ascii="Arial" w:eastAsia="Times New Roman" w:hAnsi="Arial" w:cs="Arial"/>
          <w:sz w:val="21"/>
          <w:szCs w:val="21"/>
          <w:lang w:val="en-US" w:eastAsia="es-VE"/>
        </w:rPr>
        <w:t xml:space="preserve">        </w:t>
      </w:r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Huang HC et al. J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Alzheimers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Dis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. 2016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Apr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5.</w:t>
      </w:r>
    </w:p>
    <w:p w:rsidR="00771081" w:rsidRPr="00771081" w:rsidRDefault="00971880" w:rsidP="00771081">
      <w:pPr>
        <w:numPr>
          <w:ilvl w:val="0"/>
          <w:numId w:val="13"/>
        </w:numPr>
        <w:shd w:val="clear" w:color="auto" w:fill="FCFCFC"/>
        <w:spacing w:after="0" w:line="240" w:lineRule="auto"/>
        <w:ind w:left="450"/>
        <w:textAlignment w:val="baseline"/>
        <w:rPr>
          <w:rFonts w:ascii="Arial" w:eastAsia="Times New Roman" w:hAnsi="Arial" w:cs="Arial"/>
          <w:sz w:val="21"/>
          <w:szCs w:val="21"/>
          <w:lang w:val="en-US" w:eastAsia="es-VE"/>
        </w:rPr>
      </w:pPr>
      <w:hyperlink r:id="rId22" w:history="1">
        <w:r w:rsidR="00771081" w:rsidRPr="00771081">
          <w:rPr>
            <w:rFonts w:ascii="inherit" w:eastAsia="Times New Roman" w:hAnsi="inherit" w:cs="Arial"/>
            <w:b/>
            <w:bCs/>
            <w:sz w:val="21"/>
            <w:szCs w:val="21"/>
            <w:u w:val="single"/>
            <w:bdr w:val="none" w:sz="0" w:space="0" w:color="auto" w:frame="1"/>
            <w:lang w:val="en-US" w:eastAsia="es-VE"/>
          </w:rPr>
          <w:t>Curcumin</w:t>
        </w:r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 reduces </w:t>
        </w:r>
        <w:r w:rsidR="00771081" w:rsidRPr="00771081">
          <w:rPr>
            <w:rFonts w:ascii="inherit" w:eastAsia="Times New Roman" w:hAnsi="inherit" w:cs="Arial"/>
            <w:b/>
            <w:bCs/>
            <w:sz w:val="21"/>
            <w:szCs w:val="21"/>
            <w:u w:val="single"/>
            <w:bdr w:val="none" w:sz="0" w:space="0" w:color="auto" w:frame="1"/>
            <w:lang w:val="en-US" w:eastAsia="es-VE"/>
          </w:rPr>
          <w:t>brain</w:t>
        </w:r>
        <w:r w:rsidR="00771081" w:rsidRPr="00771081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en-US" w:eastAsia="es-VE"/>
          </w:rPr>
          <w:t>-infiltrating T lymphocytes after intracerebral hemorrhage in mice.</w:t>
        </w:r>
      </w:hyperlink>
    </w:p>
    <w:p w:rsidR="00771081" w:rsidRPr="00771081" w:rsidRDefault="00771081" w:rsidP="00771081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es-VE"/>
        </w:rPr>
      </w:pPr>
      <w:r w:rsidRPr="00971880">
        <w:rPr>
          <w:rFonts w:ascii="Arial" w:eastAsia="Times New Roman" w:hAnsi="Arial" w:cs="Arial"/>
          <w:sz w:val="21"/>
          <w:szCs w:val="21"/>
          <w:lang w:val="en-US" w:eastAsia="es-VE"/>
        </w:rPr>
        <w:t xml:space="preserve">        </w:t>
      </w:r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Liu W et al.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Neurosci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 </w:t>
      </w:r>
      <w:proofErr w:type="spell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Lett</w:t>
      </w:r>
      <w:proofErr w:type="spell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 xml:space="preserve">. 2016 Mar </w:t>
      </w:r>
      <w:proofErr w:type="gramStart"/>
      <w:r w:rsidRPr="00771081">
        <w:rPr>
          <w:rFonts w:ascii="Arial" w:eastAsia="Times New Roman" w:hAnsi="Arial" w:cs="Arial"/>
          <w:sz w:val="21"/>
          <w:szCs w:val="21"/>
          <w:lang w:eastAsia="es-VE"/>
        </w:rPr>
        <w:t>26;620:74</w:t>
      </w:r>
      <w:proofErr w:type="gramEnd"/>
      <w:r w:rsidRPr="00771081">
        <w:rPr>
          <w:rFonts w:ascii="Arial" w:eastAsia="Times New Roman" w:hAnsi="Arial" w:cs="Arial"/>
          <w:sz w:val="21"/>
          <w:szCs w:val="21"/>
          <w:lang w:eastAsia="es-VE"/>
        </w:rPr>
        <w:t>-82</w:t>
      </w:r>
    </w:p>
    <w:p w:rsidR="008503D9" w:rsidRDefault="008503D9"/>
    <w:sectPr w:rsidR="008503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10A5C"/>
    <w:multiLevelType w:val="multilevel"/>
    <w:tmpl w:val="517ED6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74743"/>
    <w:multiLevelType w:val="multilevel"/>
    <w:tmpl w:val="1A36EF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EF677E"/>
    <w:multiLevelType w:val="multilevel"/>
    <w:tmpl w:val="180271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1384B"/>
    <w:multiLevelType w:val="multilevel"/>
    <w:tmpl w:val="8A8A3D8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F062AE"/>
    <w:multiLevelType w:val="multilevel"/>
    <w:tmpl w:val="F3C43B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E432BE"/>
    <w:multiLevelType w:val="multilevel"/>
    <w:tmpl w:val="A998D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AC09CE"/>
    <w:multiLevelType w:val="multilevel"/>
    <w:tmpl w:val="BF6AFF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A43107"/>
    <w:multiLevelType w:val="multilevel"/>
    <w:tmpl w:val="0E8C5B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D51507"/>
    <w:multiLevelType w:val="multilevel"/>
    <w:tmpl w:val="DEDAEC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2869D8"/>
    <w:multiLevelType w:val="multilevel"/>
    <w:tmpl w:val="A3163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072DCC"/>
    <w:multiLevelType w:val="multilevel"/>
    <w:tmpl w:val="512091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962FDB"/>
    <w:multiLevelType w:val="multilevel"/>
    <w:tmpl w:val="3C584CF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225780"/>
    <w:multiLevelType w:val="multilevel"/>
    <w:tmpl w:val="274853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0"/>
  </w:num>
  <w:num w:numId="9">
    <w:abstractNumId w:val="12"/>
  </w:num>
  <w:num w:numId="10">
    <w:abstractNumId w:val="4"/>
  </w:num>
  <w:num w:numId="11">
    <w:abstractNumId w:val="1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81"/>
    <w:rsid w:val="00634BC1"/>
    <w:rsid w:val="00771081"/>
    <w:rsid w:val="007D6D38"/>
    <w:rsid w:val="008503D9"/>
    <w:rsid w:val="00971880"/>
    <w:rsid w:val="0098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925126"/>
  <w15:chartTrackingRefBased/>
  <w15:docId w15:val="{7288F3CC-7CAE-46F5-9D01-F9E6A2DC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710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9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7049834" TargetMode="External"/><Relationship Id="rId13" Type="http://schemas.openxmlformats.org/officeDocument/2006/relationships/hyperlink" Target="http://www.ncbi.nlm.nih.gov/pubmed/26723514" TargetMode="External"/><Relationship Id="rId18" Type="http://schemas.openxmlformats.org/officeDocument/2006/relationships/hyperlink" Target="http://www.ncbi.nlm.nih.gov/pubmed/252821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cbi.nlm.nih.gov/pubmed/27060945" TargetMode="External"/><Relationship Id="rId7" Type="http://schemas.openxmlformats.org/officeDocument/2006/relationships/hyperlink" Target="http://www.ncbi.nlm.nih.gov/pubmed/26971524" TargetMode="External"/><Relationship Id="rId12" Type="http://schemas.openxmlformats.org/officeDocument/2006/relationships/hyperlink" Target="http://www.ncbi.nlm.nih.gov/pubmed/26973412" TargetMode="External"/><Relationship Id="rId17" Type="http://schemas.openxmlformats.org/officeDocument/2006/relationships/hyperlink" Target="http://www.ncbi.nlm.nih.gov/pubmed/2641843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27099472" TargetMode="External"/><Relationship Id="rId20" Type="http://schemas.openxmlformats.org/officeDocument/2006/relationships/hyperlink" Target="http://www.ncbi.nlm.nih.gov/pubmed/2644553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27094023" TargetMode="External"/><Relationship Id="rId11" Type="http://schemas.openxmlformats.org/officeDocument/2006/relationships/hyperlink" Target="http://www.ncbi.nlm.nih.gov/pubmed/2671354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oswaldodelcoromoto.wixsite.com/curcuma" TargetMode="External"/><Relationship Id="rId15" Type="http://schemas.openxmlformats.org/officeDocument/2006/relationships/hyperlink" Target="http://www.ncbi.nlm.nih.gov/pubmed/2678104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cbi.nlm.nih.gov/pubmed/27050624" TargetMode="External"/><Relationship Id="rId19" Type="http://schemas.openxmlformats.org/officeDocument/2006/relationships/hyperlink" Target="http://www.ncbi.nlm.nih.gov/pubmed/267169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26983360" TargetMode="External"/><Relationship Id="rId14" Type="http://schemas.openxmlformats.org/officeDocument/2006/relationships/hyperlink" Target="http://www.ncbi.nlm.nih.gov/pubmed/26984104" TargetMode="External"/><Relationship Id="rId22" Type="http://schemas.openxmlformats.org/officeDocument/2006/relationships/hyperlink" Target="http://www.ncbi.nlm.nih.gov/pubmed/2702648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1021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Perez Baez</dc:creator>
  <cp:keywords/>
  <dc:description/>
  <cp:lastModifiedBy>Oswaldo Perez</cp:lastModifiedBy>
  <cp:revision>4</cp:revision>
  <dcterms:created xsi:type="dcterms:W3CDTF">2019-09-30T22:05:00Z</dcterms:created>
  <dcterms:modified xsi:type="dcterms:W3CDTF">2020-01-09T19:59:00Z</dcterms:modified>
</cp:coreProperties>
</file>